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phosend-intake-book-v0.401"/>
    <w:p>
      <w:pPr>
        <w:pStyle w:val="Heading1"/>
      </w:pPr>
      <w:r>
        <w:t xml:space="preserve">PhoSend Intake Book v0.401</w:t>
      </w:r>
    </w:p>
    <w:bookmarkStart w:id="20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This book records the current projected architecture, the pieces already standing, the pieces still needed, and the ordinated version line so we do not drift or loop.</w:t>
      </w:r>
    </w:p>
    <w:bookmarkEnd w:id="20"/>
    <w:bookmarkStart w:id="21" w:name="ordinated-version-line"/>
    <w:p>
      <w:pPr>
        <w:pStyle w:val="Heading2"/>
      </w:pPr>
      <w:r>
        <w:t xml:space="preserve">Ordinated Version Line</w:t>
      </w:r>
    </w:p>
    <w:p>
      <w:pPr>
        <w:pStyle w:val="Compact"/>
        <w:numPr>
          <w:ilvl w:val="0"/>
          <w:numId w:val="1001"/>
        </w:numPr>
      </w:pPr>
      <w:r>
        <w:t xml:space="preserve">v0.101 — first starter plugin skeleton concept.</w:t>
      </w:r>
    </w:p>
    <w:p>
      <w:pPr>
        <w:pStyle w:val="Compact"/>
        <w:numPr>
          <w:ilvl w:val="0"/>
          <w:numId w:val="1001"/>
        </w:numPr>
      </w:pPr>
      <w:r>
        <w:t xml:space="preserve">v0.201 — current non-hooked bridge state.</w:t>
      </w:r>
    </w:p>
    <w:p>
      <w:pPr>
        <w:pStyle w:val="Compact"/>
        <w:numPr>
          <w:ilvl w:val="0"/>
          <w:numId w:val="1001"/>
        </w:numPr>
      </w:pPr>
      <w:r>
        <w:t xml:space="preserve">v0.301 — always-hooked bridge state.</w:t>
      </w:r>
    </w:p>
    <w:p>
      <w:pPr>
        <w:pStyle w:val="Compact"/>
        <w:numPr>
          <w:ilvl w:val="0"/>
          <w:numId w:val="1001"/>
        </w:numPr>
      </w:pPr>
      <w:r>
        <w:t xml:space="preserve">v0.401 — this book snapshot.</w:t>
      </w:r>
    </w:p>
    <w:bookmarkEnd w:id="21"/>
    <w:bookmarkStart w:id="27" w:name="current-standing-hull"/>
    <w:p>
      <w:pPr>
        <w:pStyle w:val="Heading2"/>
      </w:pPr>
      <w:r>
        <w:t xml:space="preserve">Current Standing Hull</w:t>
      </w:r>
    </w:p>
    <w:p>
      <w:pPr>
        <w:pStyle w:val="FirstParagraph"/>
      </w:pPr>
      <w:r>
        <w:t xml:space="preserve">The following pieces are now conceptually in place:</w:t>
      </w:r>
    </w:p>
    <w:bookmarkStart w:id="22" w:name="front-compliance-engine"/>
    <w:p>
      <w:pPr>
        <w:pStyle w:val="Heading3"/>
      </w:pPr>
      <w:r>
        <w:t xml:space="preserve">1. Front Compliance Engine</w:t>
      </w:r>
    </w:p>
    <w:p>
      <w:pPr>
        <w:pStyle w:val="Compact"/>
        <w:numPr>
          <w:ilvl w:val="0"/>
          <w:numId w:val="1002"/>
        </w:numPr>
      </w:pPr>
      <w:r>
        <w:t xml:space="preserve">WordPress site front.</w:t>
      </w:r>
    </w:p>
    <w:p>
      <w:pPr>
        <w:pStyle w:val="Compact"/>
        <w:numPr>
          <w:ilvl w:val="0"/>
          <w:numId w:val="1002"/>
        </w:numPr>
      </w:pPr>
      <w:r>
        <w:t xml:space="preserve">WPConsent Pro installed and active.</w:t>
      </w:r>
    </w:p>
    <w:p>
      <w:pPr>
        <w:pStyle w:val="Compact"/>
        <w:numPr>
          <w:ilvl w:val="0"/>
          <w:numId w:val="1002"/>
        </w:numPr>
      </w:pPr>
      <w:r>
        <w:t xml:space="preserve">TCF intentionally disabled for now.</w:t>
      </w:r>
    </w:p>
    <w:p>
      <w:pPr>
        <w:pStyle w:val="Compact"/>
        <w:numPr>
          <w:ilvl w:val="0"/>
          <w:numId w:val="1002"/>
        </w:numPr>
      </w:pPr>
      <w:r>
        <w:t xml:space="preserve">Banner still appears even without the custom WPCode bridge snippet.</w:t>
      </w:r>
    </w:p>
    <w:p>
      <w:pPr>
        <w:pStyle w:val="Compact"/>
        <w:numPr>
          <w:ilvl w:val="0"/>
          <w:numId w:val="1002"/>
        </w:numPr>
      </w:pPr>
      <w:r>
        <w:t xml:space="preserve">This confirms WPConsent can operate as its own consent interface and essential state recorder.</w:t>
      </w:r>
    </w:p>
    <w:bookmarkEnd w:id="22"/>
    <w:bookmarkStart w:id="23" w:name="participation-harbor-doctrine"/>
    <w:p>
      <w:pPr>
        <w:pStyle w:val="Heading3"/>
      </w:pPr>
      <w:r>
        <w:t xml:space="preserve">2. Participation Harbor Doctrine</w:t>
      </w:r>
    </w:p>
    <w:p>
      <w:pPr>
        <w:pStyle w:val="Compact"/>
        <w:numPr>
          <w:ilvl w:val="0"/>
          <w:numId w:val="1003"/>
        </w:numPr>
      </w:pPr>
      <w:r>
        <w:t xml:space="preserve">Visitors may remain in a public/static participation mode.</w:t>
      </w:r>
    </w:p>
    <w:p>
      <w:pPr>
        <w:pStyle w:val="Compact"/>
        <w:numPr>
          <w:ilvl w:val="0"/>
          <w:numId w:val="1003"/>
        </w:numPr>
      </w:pPr>
      <w:r>
        <w:t xml:space="preserve">Declined or limited consent should not dead-end the visitor.</w:t>
      </w:r>
    </w:p>
    <w:p>
      <w:pPr>
        <w:pStyle w:val="Compact"/>
        <w:numPr>
          <w:ilvl w:val="0"/>
          <w:numId w:val="1003"/>
        </w:numPr>
      </w:pPr>
      <w:r>
        <w:t xml:space="preserve">The harbor is a deliberate pre-port layer, not a punishment state.</w:t>
      </w:r>
    </w:p>
    <w:bookmarkEnd w:id="23"/>
    <w:bookmarkStart w:id="24" w:name="port-routing-doctrine"/>
    <w:p>
      <w:pPr>
        <w:pStyle w:val="Heading3"/>
      </w:pPr>
      <w:r>
        <w:t xml:space="preserve">3. Port Routing Doctrine</w:t>
      </w:r>
    </w:p>
    <w:p>
      <w:pPr>
        <w:pStyle w:val="FirstParagraph"/>
      </w:pPr>
      <w:r>
        <w:t xml:space="preserve">Routing now has three practical front-door states:</w:t>
      </w:r>
      <w:r>
        <w:t xml:space="preserve"> </w:t>
      </w:r>
      <w:r>
        <w:t xml:space="preserve">- no choice yet</w:t>
      </w:r>
      <w:r>
        <w:t xml:space="preserve"> </w:t>
      </w:r>
      <w:r>
        <w:t xml:space="preserve">- limited / declined consent</w:t>
      </w:r>
      <w:r>
        <w:t xml:space="preserve"> </w:t>
      </w:r>
      <w:r>
        <w:t xml:space="preserve">- accepted consent</w:t>
      </w:r>
    </w:p>
    <w:p>
      <w:pPr>
        <w:pStyle w:val="BodyText"/>
      </w:pPr>
      <w:r>
        <w:t xml:space="preserve">And a fourth business-state overlay:</w:t>
      </w:r>
      <w:r>
        <w:t xml:space="preserve"> </w:t>
      </w:r>
      <w:r>
        <w:t xml:space="preserve">- communications opt-in not yet recorded</w:t>
      </w:r>
      <w:r>
        <w:t xml:space="preserve"> </w:t>
      </w:r>
      <w:r>
        <w:t xml:space="preserve">- communications opt-in recorded</w:t>
      </w:r>
    </w:p>
    <w:bookmarkEnd w:id="24"/>
    <w:bookmarkStart w:id="25" w:name="intake-doctrine"/>
    <w:p>
      <w:pPr>
        <w:pStyle w:val="Heading3"/>
      </w:pPr>
      <w:r>
        <w:t xml:space="preserve">4. Intake Doctrine</w:t>
      </w:r>
    </w:p>
    <w:p>
      <w:pPr>
        <w:pStyle w:val="FirstParagraph"/>
      </w:pPr>
      <w:r>
        <w:t xml:space="preserve">Actual intake must remain downstream of:</w:t>
      </w:r>
      <w:r>
        <w:t xml:space="preserve"> </w:t>
      </w:r>
      <w:r>
        <w:t xml:space="preserve">- cookie/privacy handling</w:t>
      </w:r>
      <w:r>
        <w:t xml:space="preserve"> </w:t>
      </w:r>
      <w:r>
        <w:t xml:space="preserve">- communications consent</w:t>
      </w:r>
      <w:r>
        <w:t xml:space="preserve"> </w:t>
      </w:r>
      <w:r>
        <w:t xml:space="preserve">- SMS/email operational permissioning</w:t>
      </w:r>
    </w:p>
    <w:bookmarkEnd w:id="25"/>
    <w:bookmarkStart w:id="26" w:name="verification-doctrine"/>
    <w:p>
      <w:pPr>
        <w:pStyle w:val="Heading3"/>
      </w:pPr>
      <w:r>
        <w:t xml:space="preserve">5. Verification Doctrine</w:t>
      </w:r>
    </w:p>
    <w:p>
      <w:pPr>
        <w:pStyle w:val="FirstParagraph"/>
      </w:pPr>
      <w:r>
        <w:t xml:space="preserve">Telnyx Verify remains the intended OTP engine for phone verification.</w:t>
      </w:r>
      <w:r>
        <w:t xml:space="preserve"> </w:t>
      </w:r>
      <w:r>
        <w:t xml:space="preserve">Email finalization remains the intended completion signal.</w:t>
      </w:r>
    </w:p>
    <w:bookmarkEnd w:id="26"/>
    <w:bookmarkEnd w:id="27"/>
    <w:bookmarkStart w:id="30" w:name="what-we-have-right-now"/>
    <w:p>
      <w:pPr>
        <w:pStyle w:val="Heading2"/>
      </w:pPr>
      <w:r>
        <w:t xml:space="preserve">What We Have Right Now</w:t>
      </w:r>
    </w:p>
    <w:bookmarkStart w:id="28" w:name="a.-proven"/>
    <w:p>
      <w:pPr>
        <w:pStyle w:val="Heading3"/>
      </w:pPr>
      <w:r>
        <w:t xml:space="preserve">A. Proven</w:t>
      </w:r>
    </w:p>
    <w:p>
      <w:pPr>
        <w:pStyle w:val="Compact"/>
        <w:numPr>
          <w:ilvl w:val="0"/>
          <w:numId w:val="1004"/>
        </w:numPr>
      </w:pPr>
      <w:r>
        <w:t xml:space="preserve">WPConsent Pro is installed and live.</w:t>
      </w:r>
    </w:p>
    <w:p>
      <w:pPr>
        <w:pStyle w:val="Compact"/>
        <w:numPr>
          <w:ilvl w:val="0"/>
          <w:numId w:val="1004"/>
        </w:numPr>
      </w:pPr>
      <w:r>
        <w:t xml:space="preserve">The consent banner can appear without the custom bridge snippet.</w:t>
      </w:r>
    </w:p>
    <w:p>
      <w:pPr>
        <w:pStyle w:val="Compact"/>
        <w:numPr>
          <w:ilvl w:val="0"/>
          <w:numId w:val="1004"/>
        </w:numPr>
      </w:pPr>
      <w:r>
        <w:t xml:space="preserve">The starter plugin can be installed directly on the WordPress site by creating files locally on the server.</w:t>
      </w:r>
    </w:p>
    <w:p>
      <w:pPr>
        <w:pStyle w:val="Compact"/>
        <w:numPr>
          <w:ilvl w:val="0"/>
          <w:numId w:val="1004"/>
        </w:numPr>
      </w:pPr>
      <w:r>
        <w:t xml:space="preserve">The CTA/gate logic can be driven by a WPCode snippet reading browser-side consent state.</w:t>
      </w:r>
    </w:p>
    <w:bookmarkEnd w:id="28"/>
    <w:bookmarkStart w:id="29" w:name="b.-current-bridge-behavior"/>
    <w:p>
      <w:pPr>
        <w:pStyle w:val="Heading3"/>
      </w:pPr>
      <w:r>
        <w:t xml:space="preserve">B. Current Bridge Behavior</w:t>
      </w:r>
    </w:p>
    <w:p>
      <w:pPr>
        <w:pStyle w:val="FirstParagraph"/>
      </w:pPr>
      <w:r>
        <w:t xml:space="preserve">The current bridge snippet is non-hooked in the stronger sense:</w:t>
      </w:r>
      <w:r>
        <w:t xml:space="preserve"> </w:t>
      </w:r>
      <w:r>
        <w:t xml:space="preserve">- it reads consent state from the browser cookie heuristically</w:t>
      </w:r>
      <w:r>
        <w:t xml:space="preserve"> </w:t>
      </w:r>
      <w:r>
        <w:t xml:space="preserve">- it routes the CTA accordingly</w:t>
      </w:r>
      <w:r>
        <w:t xml:space="preserve"> </w:t>
      </w:r>
      <w:r>
        <w:t xml:space="preserve">- it uses a temporary cookie marker for communications opt-in</w:t>
      </w:r>
      <w:r>
        <w:t xml:space="preserve"> </w:t>
      </w:r>
      <w:r>
        <w:t xml:space="preserve">- it does not yet authoritatively hook into WPForms submission records or intake table state</w:t>
      </w:r>
    </w:p>
    <w:p>
      <w:pPr>
        <w:pStyle w:val="BodyText"/>
      </w:pPr>
      <w:r>
        <w:t xml:space="preserve">This is acceptable as a proving bridge, but not the final doctrine.</w:t>
      </w:r>
    </w:p>
    <w:bookmarkEnd w:id="29"/>
    <w:bookmarkEnd w:id="30"/>
    <w:bookmarkStart w:id="31" w:name="version-v0.201-non-hooked-bridge"/>
    <w:p>
      <w:pPr>
        <w:pStyle w:val="Heading2"/>
      </w:pPr>
      <w:r>
        <w:t xml:space="preserve">Version v0.201 — Non-Hooked Bridge</w:t>
      </w:r>
    </w:p>
    <w:p>
      <w:pPr>
        <w:pStyle w:val="FirstParagraph"/>
      </w:pPr>
      <w:r>
        <w:t xml:space="preserve">Definition:</w:t>
      </w:r>
      <w:r>
        <w:t xml:space="preserve"> </w:t>
      </w:r>
      <w:r>
        <w:t xml:space="preserve">- browser-side only</w:t>
      </w:r>
      <w:r>
        <w:t xml:space="preserve"> </w:t>
      </w:r>
      <w:r>
        <w:t xml:space="preserve">- conservative cookie inspection</w:t>
      </w:r>
      <w:r>
        <w:t xml:space="preserve"> </w:t>
      </w:r>
      <w:r>
        <w:t xml:space="preserve">- temporary</w:t>
      </w:r>
      <w:r>
        <w:t xml:space="preserve"> </w:t>
      </w:r>
      <w:r>
        <w:rPr>
          <w:rStyle w:val="VerbatimChar"/>
        </w:rPr>
        <w:t xml:space="preserve">phosend_comms_optin</w:t>
      </w:r>
      <w:r>
        <w:t xml:space="preserve"> </w:t>
      </w:r>
      <w:r>
        <w:t xml:space="preserve">cookie</w:t>
      </w:r>
      <w:r>
        <w:t xml:space="preserve"> </w:t>
      </w:r>
      <w:r>
        <w:t xml:space="preserve">- CTA and gate shortcodes available</w:t>
      </w:r>
      <w:r>
        <w:t xml:space="preserve"> </w:t>
      </w:r>
      <w:r>
        <w:t xml:space="preserve">- no authoritative server-side state coupling yet</w:t>
      </w:r>
    </w:p>
    <w:p>
      <w:pPr>
        <w:pStyle w:val="BodyText"/>
      </w:pPr>
      <w:r>
        <w:t xml:space="preserve">Use:</w:t>
      </w:r>
      <w:r>
        <w:t xml:space="preserve"> </w:t>
      </w:r>
      <w:r>
        <w:t xml:space="preserve">- active test bed</w:t>
      </w:r>
      <w:r>
        <w:t xml:space="preserve"> </w:t>
      </w:r>
      <w:r>
        <w:t xml:space="preserve">- route proving</w:t>
      </w:r>
      <w:r>
        <w:t xml:space="preserve"> </w:t>
      </w:r>
      <w:r>
        <w:t xml:space="preserve">- wording and UX proving</w:t>
      </w:r>
      <w:r>
        <w:t xml:space="preserve"> </w:t>
      </w:r>
      <w:r>
        <w:t xml:space="preserve">- safe temporary harbor while intake table and WPForms hooks are still being shaped</w:t>
      </w:r>
    </w:p>
    <w:bookmarkEnd w:id="31"/>
    <w:bookmarkStart w:id="32" w:name="version-v0.301-always-hooked-bridge"/>
    <w:p>
      <w:pPr>
        <w:pStyle w:val="Heading2"/>
      </w:pPr>
      <w:r>
        <w:t xml:space="preserve">Version v0.301 — Always-Hooked Bridge</w:t>
      </w:r>
    </w:p>
    <w:p>
      <w:pPr>
        <w:pStyle w:val="FirstParagraph"/>
      </w:pPr>
      <w:r>
        <w:t xml:space="preserve">Definition:</w:t>
      </w:r>
      <w:r>
        <w:t xml:space="preserve"> </w:t>
      </w:r>
      <w:r>
        <w:t xml:space="preserve">- the same visible routing behavior as v0.201</w:t>
      </w:r>
      <w:r>
        <w:t xml:space="preserve"> </w:t>
      </w:r>
      <w:r>
        <w:t xml:space="preserve">- but the business-state signal is always sourced from a server-side hook path</w:t>
      </w:r>
      <w:r>
        <w:t xml:space="preserve"> </w:t>
      </w:r>
      <w:r>
        <w:t xml:space="preserve">- the browser cookie becomes optional or secondary</w:t>
      </w:r>
      <w:r>
        <w:t xml:space="preserve"> </w:t>
      </w:r>
      <w:r>
        <w:t xml:space="preserve">- the bridge always asks the authoritative record first</w:t>
      </w:r>
    </w:p>
    <w:p>
      <w:pPr>
        <w:pStyle w:val="BodyText"/>
      </w:pPr>
      <w:r>
        <w:t xml:space="preserve">Planned authoritative inputs:</w:t>
      </w:r>
      <w:r>
        <w:t xml:space="preserve"> </w:t>
      </w:r>
      <w:r>
        <w:t xml:space="preserve">- WPForms communications consent form submission</w:t>
      </w:r>
      <w:r>
        <w:t xml:space="preserve"> </w:t>
      </w:r>
      <w:r>
        <w:t xml:space="preserve">- intake table row keyed by email and/or phone</w:t>
      </w:r>
      <w:r>
        <w:t xml:space="preserve"> </w:t>
      </w:r>
      <w:r>
        <w:t xml:space="preserve">- optional user/session correlation when present</w:t>
      </w:r>
    </w:p>
    <w:p>
      <w:pPr>
        <w:pStyle w:val="BodyText"/>
      </w:pPr>
      <w:r>
        <w:t xml:space="preserve">Expected behavior:</w:t>
      </w:r>
      <w:r>
        <w:t xml:space="preserve"> </w:t>
      </w:r>
      <w:r>
        <w:t xml:space="preserve">- if WPConsent not chosen: require banner interaction first</w:t>
      </w:r>
      <w:r>
        <w:t xml:space="preserve"> </w:t>
      </w:r>
      <w:r>
        <w:t xml:space="preserve">- if consent limited: harbor route</w:t>
      </w:r>
      <w:r>
        <w:t xml:space="preserve"> </w:t>
      </w:r>
      <w:r>
        <w:t xml:space="preserve">- if consent accepted and no comms record: communications gate</w:t>
      </w:r>
      <w:r>
        <w:t xml:space="preserve"> </w:t>
      </w:r>
      <w:r>
        <w:t xml:space="preserve">- if consent accepted and comms record exists: intake</w:t>
      </w:r>
    </w:p>
    <w:bookmarkEnd w:id="32"/>
    <w:bookmarkStart w:id="38" w:name="what-still-needs-built"/>
    <w:p>
      <w:pPr>
        <w:pStyle w:val="Heading2"/>
      </w:pPr>
      <w:r>
        <w:t xml:space="preserve">What Still Needs Built</w:t>
      </w:r>
    </w:p>
    <w:bookmarkStart w:id="33" w:name="wpforms-hooking"/>
    <w:p>
      <w:pPr>
        <w:pStyle w:val="Heading3"/>
      </w:pPr>
      <w:r>
        <w:t xml:space="preserve">1. WPForms Hooking</w:t>
      </w:r>
    </w:p>
    <w:p>
      <w:pPr>
        <w:pStyle w:val="FirstParagraph"/>
      </w:pPr>
      <w:r>
        <w:t xml:space="preserve">Needed:</w:t>
      </w:r>
      <w:r>
        <w:t xml:space="preserve"> </w:t>
      </w:r>
      <w:r>
        <w:t xml:space="preserve">- intercept the communications consent form on submission</w:t>
      </w:r>
      <w:r>
        <w:t xml:space="preserve"> </w:t>
      </w:r>
      <w:r>
        <w:t xml:space="preserve">- record consent timestamp, email, phone, consent text version</w:t>
      </w:r>
      <w:r>
        <w:t xml:space="preserve"> </w:t>
      </w:r>
      <w:r>
        <w:t xml:space="preserve">- set authoritative state in database</w:t>
      </w:r>
      <w:r>
        <w:t xml:space="preserve"> </w:t>
      </w:r>
      <w:r>
        <w:t xml:space="preserve">- optionally set lightweight browser cookie for convenience only</w:t>
      </w:r>
    </w:p>
    <w:bookmarkEnd w:id="33"/>
    <w:bookmarkStart w:id="34" w:name="intake-state-table-expansion"/>
    <w:p>
      <w:pPr>
        <w:pStyle w:val="Heading3"/>
      </w:pPr>
      <w:r>
        <w:t xml:space="preserve">2. Intake State Table Expansion</w:t>
      </w:r>
    </w:p>
    <w:p>
      <w:pPr>
        <w:pStyle w:val="FirstParagraph"/>
      </w:pPr>
      <w:r>
        <w:t xml:space="preserve">Current starter table is minimal.</w:t>
      </w:r>
      <w:r>
        <w:t xml:space="preserve"> </w:t>
      </w:r>
      <w:r>
        <w:t xml:space="preserve">Needed fields include:</w:t>
      </w:r>
      <w:r>
        <w:t xml:space="preserve"> </w:t>
      </w:r>
      <w:r>
        <w:t xml:space="preserve">- id</w:t>
      </w:r>
      <w:r>
        <w:t xml:space="preserve"> </w:t>
      </w:r>
      <w:r>
        <w:t xml:space="preserve">- email</w:t>
      </w:r>
      <w:r>
        <w:t xml:space="preserve"> </w:t>
      </w:r>
      <w:r>
        <w:t xml:space="preserve">- phone</w:t>
      </w:r>
      <w:r>
        <w:t xml:space="preserve"> </w:t>
      </w:r>
      <w:r>
        <w:t xml:space="preserve">- cookie_state_snapshot</w:t>
      </w:r>
      <w:r>
        <w:t xml:space="preserve"> </w:t>
      </w:r>
      <w:r>
        <w:t xml:space="preserve">- comms_opt_in</w:t>
      </w:r>
      <w:r>
        <w:t xml:space="preserve"> </w:t>
      </w:r>
      <w:r>
        <w:t xml:space="preserve">- comms_opt_in_at</w:t>
      </w:r>
      <w:r>
        <w:t xml:space="preserve"> </w:t>
      </w:r>
      <w:r>
        <w:t xml:space="preserve">- comms_source</w:t>
      </w:r>
      <w:r>
        <w:t xml:space="preserve"> </w:t>
      </w:r>
      <w:r>
        <w:t xml:space="preserve">- intake_status</w:t>
      </w:r>
      <w:r>
        <w:t xml:space="preserve"> </w:t>
      </w:r>
      <w:r>
        <w:t xml:space="preserve">- verification_id</w:t>
      </w:r>
      <w:r>
        <w:t xml:space="preserve"> </w:t>
      </w:r>
      <w:r>
        <w:t xml:space="preserve">- otp_status</w:t>
      </w:r>
      <w:r>
        <w:t xml:space="preserve"> </w:t>
      </w:r>
      <w:r>
        <w:t xml:space="preserve">- review_status</w:t>
      </w:r>
      <w:r>
        <w:t xml:space="preserve"> </w:t>
      </w:r>
      <w:r>
        <w:t xml:space="preserve">- created_at</w:t>
      </w:r>
      <w:r>
        <w:t xml:space="preserve"> </w:t>
      </w:r>
      <w:r>
        <w:t xml:space="preserve">- updated_at</w:t>
      </w:r>
    </w:p>
    <w:bookmarkEnd w:id="34"/>
    <w:bookmarkStart w:id="35" w:name="telnyx-operational-wiring"/>
    <w:p>
      <w:pPr>
        <w:pStyle w:val="Heading3"/>
      </w:pPr>
      <w:r>
        <w:t xml:space="preserve">3. Telnyx Operational Wiring</w:t>
      </w:r>
    </w:p>
    <w:p>
      <w:pPr>
        <w:pStyle w:val="FirstParagraph"/>
      </w:pPr>
      <w:r>
        <w:t xml:space="preserve">Needed:</w:t>
      </w:r>
      <w:r>
        <w:t xml:space="preserve"> </w:t>
      </w:r>
      <w:r>
        <w:t xml:space="preserve">- send verification on intake trigger</w:t>
      </w:r>
      <w:r>
        <w:t xml:space="preserve"> </w:t>
      </w:r>
      <w:r>
        <w:t xml:space="preserve">- verify OTP endpoint/page</w:t>
      </w:r>
      <w:r>
        <w:t xml:space="preserve"> </w:t>
      </w:r>
      <w:r>
        <w:t xml:space="preserve">- resend limits</w:t>
      </w:r>
      <w:r>
        <w:t xml:space="preserve"> </w:t>
      </w:r>
      <w:r>
        <w:t xml:space="preserve">- expiration handling</w:t>
      </w:r>
      <w:r>
        <w:t xml:space="preserve"> </w:t>
      </w:r>
      <w:r>
        <w:t xml:space="preserve">- webhook support later</w:t>
      </w:r>
    </w:p>
    <w:bookmarkEnd w:id="35"/>
    <w:bookmarkStart w:id="36" w:name="admin-review-surface"/>
    <w:p>
      <w:pPr>
        <w:pStyle w:val="Heading3"/>
      </w:pPr>
      <w:r>
        <w:t xml:space="preserve">4. Admin Review Surface</w:t>
      </w:r>
    </w:p>
    <w:p>
      <w:pPr>
        <w:pStyle w:val="FirstParagraph"/>
      </w:pPr>
      <w:r>
        <w:t xml:space="preserve">Needed:</w:t>
      </w:r>
      <w:r>
        <w:t xml:space="preserve"> </w:t>
      </w:r>
      <w:r>
        <w:t xml:space="preserve">- intake queue</w:t>
      </w:r>
      <w:r>
        <w:t xml:space="preserve"> </w:t>
      </w:r>
      <w:r>
        <w:t xml:space="preserve">- status view</w:t>
      </w:r>
      <w:r>
        <w:t xml:space="preserve"> </w:t>
      </w:r>
      <w:r>
        <w:t xml:space="preserve">- verification status</w:t>
      </w:r>
      <w:r>
        <w:t xml:space="preserve"> </w:t>
      </w:r>
      <w:r>
        <w:t xml:space="preserve">- consent timestamps</w:t>
      </w:r>
      <w:r>
        <w:t xml:space="preserve"> </w:t>
      </w:r>
      <w:r>
        <w:t xml:space="preserve">- retry visibility</w:t>
      </w:r>
    </w:p>
    <w:bookmarkEnd w:id="36"/>
    <w:bookmarkStart w:id="37" w:name="enforcement-tightening"/>
    <w:p>
      <w:pPr>
        <w:pStyle w:val="Heading3"/>
      </w:pPr>
      <w:r>
        <w:t xml:space="preserve">5. Enforcement Tightening</w:t>
      </w:r>
    </w:p>
    <w:p>
      <w:pPr>
        <w:pStyle w:val="FirstParagraph"/>
      </w:pPr>
      <w:r>
        <w:t xml:space="preserve">Needed:</w:t>
      </w:r>
      <w:r>
        <w:t xml:space="preserve"> </w:t>
      </w:r>
      <w:r>
        <w:t xml:space="preserve">- stronger WPConsent state parsing or plugin-native data source if available</w:t>
      </w:r>
      <w:r>
        <w:t xml:space="preserve"> </w:t>
      </w:r>
      <w:r>
        <w:t xml:space="preserve">- fewer heuristics</w:t>
      </w:r>
      <w:r>
        <w:t xml:space="preserve"> </w:t>
      </w:r>
      <w:r>
        <w:t xml:space="preserve">- more authoritative interpretation of accepted vs limited state</w:t>
      </w:r>
    </w:p>
    <w:bookmarkEnd w:id="37"/>
    <w:bookmarkEnd w:id="38"/>
    <w:bookmarkStart w:id="43" w:name="practical-build-order"/>
    <w:p>
      <w:pPr>
        <w:pStyle w:val="Heading2"/>
      </w:pPr>
      <w:r>
        <w:t xml:space="preserve">Practical Build Order</w:t>
      </w:r>
    </w:p>
    <w:bookmarkStart w:id="39" w:name="phase-1"/>
    <w:p>
      <w:pPr>
        <w:pStyle w:val="Heading3"/>
      </w:pPr>
      <w:r>
        <w:t xml:space="preserve">Phase 1</w:t>
      </w:r>
    </w:p>
    <w:p>
      <w:pPr>
        <w:pStyle w:val="Compact"/>
        <w:numPr>
          <w:ilvl w:val="0"/>
          <w:numId w:val="1005"/>
        </w:numPr>
      </w:pPr>
      <w:r>
        <w:t xml:space="preserve">stabilize v0.201</w:t>
      </w:r>
    </w:p>
    <w:p>
      <w:pPr>
        <w:pStyle w:val="Compact"/>
        <w:numPr>
          <w:ilvl w:val="0"/>
          <w:numId w:val="1005"/>
        </w:numPr>
      </w:pPr>
      <w:r>
        <w:t xml:space="preserve">confirm CTA route logic in live tests</w:t>
      </w:r>
    </w:p>
    <w:p>
      <w:pPr>
        <w:pStyle w:val="Compact"/>
        <w:numPr>
          <w:ilvl w:val="0"/>
          <w:numId w:val="1005"/>
        </w:numPr>
      </w:pPr>
      <w:r>
        <w:t xml:space="preserve">confirm wording and page paths</w:t>
      </w:r>
    </w:p>
    <w:bookmarkEnd w:id="39"/>
    <w:bookmarkStart w:id="40" w:name="phase-2"/>
    <w:p>
      <w:pPr>
        <w:pStyle w:val="Heading3"/>
      </w:pPr>
      <w:r>
        <w:t xml:space="preserve">Phase 2</w:t>
      </w:r>
    </w:p>
    <w:p>
      <w:pPr>
        <w:pStyle w:val="Compact"/>
        <w:numPr>
          <w:ilvl w:val="0"/>
          <w:numId w:val="1006"/>
        </w:numPr>
      </w:pPr>
      <w:r>
        <w:t xml:space="preserve">implement v0.301 always-hooked state path</w:t>
      </w:r>
    </w:p>
    <w:p>
      <w:pPr>
        <w:pStyle w:val="Compact"/>
        <w:numPr>
          <w:ilvl w:val="0"/>
          <w:numId w:val="1006"/>
        </w:numPr>
      </w:pPr>
      <w:r>
        <w:t xml:space="preserve">record communications consent on real WPForms submission</w:t>
      </w:r>
    </w:p>
    <w:p>
      <w:pPr>
        <w:pStyle w:val="Compact"/>
        <w:numPr>
          <w:ilvl w:val="0"/>
          <w:numId w:val="1006"/>
        </w:numPr>
      </w:pPr>
      <w:r>
        <w:t xml:space="preserve">make CTA ask server-side state</w:t>
      </w:r>
    </w:p>
    <w:bookmarkEnd w:id="40"/>
    <w:bookmarkStart w:id="41" w:name="phase-3"/>
    <w:p>
      <w:pPr>
        <w:pStyle w:val="Heading3"/>
      </w:pPr>
      <w:r>
        <w:t xml:space="preserve">Phase 3</w:t>
      </w:r>
    </w:p>
    <w:p>
      <w:pPr>
        <w:pStyle w:val="Compact"/>
        <w:numPr>
          <w:ilvl w:val="0"/>
          <w:numId w:val="1007"/>
        </w:numPr>
      </w:pPr>
      <w:r>
        <w:t xml:space="preserve">expand intake engine</w:t>
      </w:r>
    </w:p>
    <w:p>
      <w:pPr>
        <w:pStyle w:val="Compact"/>
        <w:numPr>
          <w:ilvl w:val="0"/>
          <w:numId w:val="1007"/>
        </w:numPr>
      </w:pPr>
      <w:r>
        <w:t xml:space="preserve">Telnyx send/verify</w:t>
      </w:r>
    </w:p>
    <w:p>
      <w:pPr>
        <w:pStyle w:val="Compact"/>
        <w:numPr>
          <w:ilvl w:val="0"/>
          <w:numId w:val="1007"/>
        </w:numPr>
      </w:pPr>
      <w:r>
        <w:t xml:space="preserve">email finalization</w:t>
      </w:r>
    </w:p>
    <w:p>
      <w:pPr>
        <w:pStyle w:val="Compact"/>
        <w:numPr>
          <w:ilvl w:val="0"/>
          <w:numId w:val="1007"/>
        </w:numPr>
      </w:pPr>
      <w:r>
        <w:t xml:space="preserve">admin queue</w:t>
      </w:r>
    </w:p>
    <w:bookmarkEnd w:id="41"/>
    <w:bookmarkStart w:id="42" w:name="phase-4"/>
    <w:p>
      <w:pPr>
        <w:pStyle w:val="Heading3"/>
      </w:pPr>
      <w:r>
        <w:t xml:space="preserve">Phase 4</w:t>
      </w:r>
    </w:p>
    <w:p>
      <w:pPr>
        <w:pStyle w:val="Compact"/>
        <w:numPr>
          <w:ilvl w:val="0"/>
          <w:numId w:val="1008"/>
        </w:numPr>
      </w:pPr>
      <w:r>
        <w:t xml:space="preserve">restartability</w:t>
      </w:r>
    </w:p>
    <w:p>
      <w:pPr>
        <w:pStyle w:val="Compact"/>
        <w:numPr>
          <w:ilvl w:val="0"/>
          <w:numId w:val="1008"/>
        </w:numPr>
      </w:pPr>
      <w:r>
        <w:t xml:space="preserve">webhook handling</w:t>
      </w:r>
    </w:p>
    <w:p>
      <w:pPr>
        <w:pStyle w:val="Compact"/>
        <w:numPr>
          <w:ilvl w:val="0"/>
          <w:numId w:val="1008"/>
        </w:numPr>
      </w:pPr>
      <w:r>
        <w:t xml:space="preserve">auditability</w:t>
      </w:r>
    </w:p>
    <w:p>
      <w:pPr>
        <w:pStyle w:val="Compact"/>
        <w:numPr>
          <w:ilvl w:val="0"/>
          <w:numId w:val="1008"/>
        </w:numPr>
      </w:pPr>
      <w:r>
        <w:t xml:space="preserve">stronger doctrine alignment with the broader PhoSend / FireDance style</w:t>
      </w:r>
    </w:p>
    <w:bookmarkEnd w:id="42"/>
    <w:bookmarkEnd w:id="43"/>
    <w:bookmarkStart w:id="44" w:name="known-global-flaw-assumption"/>
    <w:p>
      <w:pPr>
        <w:pStyle w:val="Heading2"/>
      </w:pPr>
      <w:r>
        <w:t xml:space="preserve">Known Global Flaw Assumption</w:t>
      </w:r>
    </w:p>
    <w:p>
      <w:pPr>
        <w:pStyle w:val="FirstParagraph"/>
      </w:pPr>
      <w:r>
        <w:t xml:space="preserve">We must assume the download/file-handoff flaw is global until proven otherwise.</w:t>
      </w:r>
      <w:r>
        <w:t xml:space="preserve"> </w:t>
      </w:r>
      <w:r>
        <w:t xml:space="preserve">Therefore the working doctrine is:</w:t>
      </w:r>
      <w:r>
        <w:t xml:space="preserve"> </w:t>
      </w:r>
      <w:r>
        <w:t xml:space="preserve">- prefer directly creatable server-side files</w:t>
      </w:r>
      <w:r>
        <w:t xml:space="preserve"> </w:t>
      </w:r>
      <w:r>
        <w:t xml:space="preserve">- prefer pasteable snippets</w:t>
      </w:r>
      <w:r>
        <w:t xml:space="preserve"> </w:t>
      </w:r>
      <w:r>
        <w:t xml:space="preserve">- prefer ordinated inline code and document drops</w:t>
      </w:r>
      <w:r>
        <w:t xml:space="preserve"> </w:t>
      </w:r>
      <w:r>
        <w:t xml:space="preserve">- do not depend on sandbox file retrieval as a required path</w:t>
      </w:r>
    </w:p>
    <w:bookmarkEnd w:id="44"/>
    <w:bookmarkStart w:id="45" w:name="operational-rule-against-tail-chasing"/>
    <w:p>
      <w:pPr>
        <w:pStyle w:val="Heading2"/>
      </w:pPr>
      <w:r>
        <w:t xml:space="preserve">Operational Rule Against Tail-Chasing</w:t>
      </w:r>
    </w:p>
    <w:p>
      <w:pPr>
        <w:pStyle w:val="FirstParagraph"/>
      </w:pPr>
      <w:r>
        <w:t xml:space="preserve">We should not repeatedly retest the same broken transfer path unless a materially different transport is being used.</w:t>
      </w:r>
      <w:r>
        <w:t xml:space="preserve"> </w:t>
      </w:r>
      <w:r>
        <w:t xml:space="preserve">That means:</w:t>
      </w:r>
      <w:r>
        <w:t xml:space="preserve"> </w:t>
      </w:r>
      <w:r>
        <w:t xml:space="preserve">- new ordinated versions should be delivered inline first</w:t>
      </w:r>
      <w:r>
        <w:t xml:space="preserve"> </w:t>
      </w:r>
      <w:r>
        <w:t xml:space="preserve">- downloadable packaging is secondary</w:t>
      </w:r>
      <w:r>
        <w:t xml:space="preserve"> </w:t>
      </w:r>
      <w:r>
        <w:t xml:space="preserve">- each new version should state exactly what changed</w:t>
      </w:r>
    </w:p>
    <w:bookmarkEnd w:id="45"/>
    <w:bookmarkStart w:id="46" w:name="next-deliverables"/>
    <w:p>
      <w:pPr>
        <w:pStyle w:val="Heading2"/>
      </w:pPr>
      <w:r>
        <w:t xml:space="preserve">Next Deliverables</w:t>
      </w:r>
    </w:p>
    <w:p>
      <w:pPr>
        <w:pStyle w:val="Compact"/>
        <w:numPr>
          <w:ilvl w:val="0"/>
          <w:numId w:val="1009"/>
        </w:numPr>
      </w:pPr>
      <w:r>
        <w:t xml:space="preserve">v0.201 code snapshot: non-hooked bridge</w:t>
      </w:r>
    </w:p>
    <w:p>
      <w:pPr>
        <w:pStyle w:val="Compact"/>
        <w:numPr>
          <w:ilvl w:val="0"/>
          <w:numId w:val="1009"/>
        </w:numPr>
      </w:pPr>
      <w:r>
        <w:t xml:space="preserve">v0.301 code snapshot: always-hooked bridge</w:t>
      </w:r>
    </w:p>
    <w:p>
      <w:pPr>
        <w:pStyle w:val="Compact"/>
        <w:numPr>
          <w:ilvl w:val="0"/>
          <w:numId w:val="1009"/>
        </w:numPr>
      </w:pPr>
      <w:r>
        <w:t xml:space="preserve">v0.401 book snapshot: this document</w:t>
      </w:r>
    </w:p>
    <w:bookmarkEnd w:id="46"/>
    <w:bookmarkStart w:id="47" w:name="delta-rule"/>
    <w:p>
      <w:pPr>
        <w:pStyle w:val="Heading2"/>
      </w:pPr>
      <w:r>
        <w:t xml:space="preserve">Delta Rule</w:t>
      </w:r>
    </w:p>
    <w:p>
      <w:pPr>
        <w:pStyle w:val="FirstParagraph"/>
      </w:pPr>
      <w:r>
        <w:t xml:space="preserve">Every next ordinated output should explicitly say:</w:t>
      </w:r>
      <w:r>
        <w:t xml:space="preserve"> </w:t>
      </w:r>
      <w:r>
        <w:t xml:space="preserve">- what was inherited unchanged</w:t>
      </w:r>
      <w:r>
        <w:t xml:space="preserve"> </w:t>
      </w:r>
      <w:r>
        <w:t xml:space="preserve">- what was added</w:t>
      </w:r>
      <w:r>
        <w:t xml:space="preserve"> </w:t>
      </w:r>
      <w:r>
        <w:t xml:space="preserve">- what remains projected only</w:t>
      </w:r>
    </w:p>
    <w:p>
      <w:pPr>
        <w:pStyle w:val="BodyText"/>
      </w:pPr>
      <w:r>
        <w:t xml:space="preserve">This keeps the line straight and prevents false progress.</w: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2026-03-12T10:21:45Z</dcterms:created>
  <dcterms:modified xsi:type="dcterms:W3CDTF">2026-03-12T10:21:45Z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